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ゴシック" w:hAnsi="ＭＳ ゴシック" w:eastAsia="ＭＳ ゴシック"/>
        </w:rPr>
      </w:pPr>
      <w:r>
        <w:rPr>
          <w:rFonts w:hint="eastAsia" w:ascii="ＭＳ ゴシック" w:hAnsi="ＭＳ ゴシック" w:eastAsia="ＭＳ ゴシック"/>
        </w:rPr>
        <w:t>オミクロン株の特徴を踏まえた濃厚接触者の特定等の見直しについて</w:t>
      </w:r>
    </w:p>
    <w:p>
      <w:pPr>
        <w:pStyle w:val="0"/>
        <w:rPr>
          <w:rFonts w:hint="eastAsia"/>
        </w:rPr>
      </w:pPr>
    </w:p>
    <w:p>
      <w:pPr>
        <w:pStyle w:val="0"/>
        <w:rPr>
          <w:rFonts w:hint="eastAsia"/>
        </w:rPr>
      </w:pPr>
      <w:r>
        <w:rPr>
          <w:rFonts w:hint="eastAsia"/>
        </w:rPr>
        <w:t>　</w:t>
      </w:r>
      <w:r>
        <w:rPr>
          <w:rFonts w:hint="eastAsia"/>
          <w:spacing w:val="-4"/>
        </w:rPr>
        <w:t>オミクロン株の特徴を踏まえ、感染拡大防止と社会経済活動の維持との両立の観点から、</w:t>
      </w:r>
      <w:r>
        <w:rPr>
          <w:rFonts w:hint="eastAsia" w:ascii="ＭＳ ゴシック" w:hAnsi="ＭＳ ゴシック" w:eastAsia="ＭＳ ゴシック"/>
          <w:spacing w:val="-4"/>
        </w:rPr>
        <w:t>オミクロン株による感染が主流の間は、濃厚接触者の特定等について見直します</w:t>
      </w:r>
      <w:r>
        <w:rPr>
          <w:rFonts w:hint="eastAsia"/>
          <w:spacing w:val="-4"/>
        </w:rPr>
        <w:t>。</w:t>
      </w:r>
    </w:p>
    <w:p>
      <w:pPr>
        <w:pStyle w:val="0"/>
        <w:spacing w:before="174" w:beforeLines="50" w:beforeAutospacing="0"/>
        <w:rPr>
          <w:rFonts w:hint="eastAsia"/>
        </w:rPr>
      </w:pPr>
      <w:r>
        <w:rPr>
          <w:rFonts w:hint="eastAsia"/>
        </w:rPr>
        <w:t>　【オミクロン株の特徴】</w:t>
      </w:r>
    </w:p>
    <w:p>
      <w:pPr>
        <w:pStyle w:val="0"/>
        <w:rPr>
          <w:rFonts w:hint="eastAsia"/>
        </w:rPr>
      </w:pPr>
      <w:r>
        <w:rPr>
          <w:rFonts w:hint="eastAsia"/>
        </w:rPr>
        <w:t>　　・感染力が強く、潜伏期間と発症間隔が短い</w:t>
      </w:r>
    </w:p>
    <w:p>
      <w:pPr>
        <w:pStyle w:val="0"/>
        <w:rPr>
          <w:rFonts w:hint="eastAsia"/>
        </w:rPr>
      </w:pPr>
      <w:r>
        <w:rPr>
          <w:rFonts w:hint="eastAsia"/>
        </w:rPr>
        <w:t>　　・重症化率は低い（デルタ株等よりは低いが、季節性インフルエンザよりは高い）</w:t>
      </w:r>
    </w:p>
    <w:p>
      <w:pPr>
        <w:pStyle w:val="0"/>
        <w:rPr>
          <w:rFonts w:hint="eastAsia"/>
        </w:rPr>
      </w:pPr>
      <w:r>
        <w:rPr>
          <w:rFonts w:hint="eastAsia"/>
        </w:rPr>
        <w:t>　　・重症例や死亡例の多くは高齢者</w:t>
      </w:r>
    </w:p>
    <w:p>
      <w:pPr>
        <w:pStyle w:val="0"/>
        <w:rPr>
          <w:rFonts w:hint="eastAsia"/>
        </w:rPr>
      </w:pPr>
      <w:bookmarkStart w:id="0" w:name="_GoBack"/>
      <w:bookmarkEnd w:id="0"/>
    </w:p>
    <w:p>
      <w:pPr>
        <w:pStyle w:val="0"/>
        <w:rPr>
          <w:rFonts w:hint="eastAsia"/>
        </w:rPr>
      </w:pPr>
      <w:r>
        <w:rPr>
          <w:rFonts w:hint="eastAsia" w:ascii="ＭＳ ゴシック" w:hAnsi="ＭＳ ゴシック" w:eastAsia="ＭＳ ゴシック"/>
        </w:rPr>
        <w:t>１　見直しの考え方</w:t>
      </w:r>
    </w:p>
    <w:p>
      <w:pPr>
        <w:pStyle w:val="0"/>
        <w:ind w:left="480" w:hanging="480" w:hangingChars="200"/>
        <w:rPr>
          <w:rFonts w:hint="eastAsia"/>
        </w:rPr>
      </w:pPr>
      <w:r>
        <w:rPr>
          <w:rFonts w:hint="eastAsia"/>
        </w:rPr>
        <w:t>　・</w:t>
      </w:r>
      <w:r>
        <w:rPr>
          <w:rFonts w:hint="eastAsia" w:ascii="ＭＳ ゴシック" w:hAnsi="ＭＳ ゴシック" w:eastAsia="ＭＳ ゴシック"/>
        </w:rPr>
        <w:t>同居者は、</w:t>
      </w:r>
      <w:r>
        <w:rPr>
          <w:rFonts w:hint="eastAsia"/>
        </w:rPr>
        <w:t>二次感染率が他の濃厚接触者より高く、感染情報を迅速に共有可能で特定・行動制限による効果が見込まれるため、</w:t>
      </w:r>
      <w:r>
        <w:rPr>
          <w:rFonts w:hint="eastAsia" w:ascii="ＭＳ ゴシック" w:hAnsi="ＭＳ ゴシック" w:eastAsia="ＭＳ ゴシック"/>
        </w:rPr>
        <w:t>引き続き濃厚接触者を特定し、行動制限を求める</w:t>
      </w:r>
      <w:r>
        <w:rPr>
          <w:rFonts w:hint="eastAsia"/>
        </w:rPr>
        <w:t>。</w:t>
      </w:r>
    </w:p>
    <w:p>
      <w:pPr>
        <w:pStyle w:val="0"/>
        <w:ind w:left="480" w:hanging="480" w:hangingChars="200"/>
        <w:rPr>
          <w:rFonts w:hint="eastAsia" w:ascii="ＭＳ 明朝" w:hAnsi="ＭＳ 明朝" w:eastAsia="ＭＳ 明朝"/>
        </w:rPr>
      </w:pPr>
      <w:r>
        <w:rPr>
          <w:rFonts w:hint="eastAsia" w:ascii="ＭＳ 明朝" w:hAnsi="ＭＳ 明朝" w:eastAsia="ＭＳ 明朝"/>
        </w:rPr>
        <w:t>　・ハイリスク施設（高齢者・障害者の入所施設、入院医療機関）は、重症化リスクの高い高齢者や基礎疾患を有する者等が集団で過ごしているため、引き続き濃厚接触者を特定し、行動制限を求める。</w:t>
      </w:r>
    </w:p>
    <w:p>
      <w:pPr>
        <w:pStyle w:val="0"/>
        <w:ind w:left="480" w:hanging="480" w:hangingChars="200"/>
        <w:rPr>
          <w:rFonts w:hint="eastAsia" w:ascii="ＭＳ 明朝" w:hAnsi="ＭＳ 明朝" w:eastAsia="ＭＳ 明朝"/>
        </w:rPr>
      </w:pPr>
      <w:r>
        <w:rPr>
          <w:rFonts w:hint="eastAsia" w:ascii="ＭＳ 明朝" w:hAnsi="ＭＳ 明朝" w:eastAsia="ＭＳ 明朝"/>
        </w:rPr>
        <w:t>　・保育園、幼稚園、学校等では、マスク着用などが困難な場合な場合もあること等を踏まえ、引き続き濃厚接触者を特定し、行動制限を求める。</w:t>
      </w:r>
    </w:p>
    <w:p>
      <w:pPr>
        <w:pStyle w:val="0"/>
        <w:ind w:left="480" w:hanging="480" w:hangingChars="200"/>
        <w:rPr>
          <w:rFonts w:hint="eastAsia"/>
        </w:rPr>
      </w:pPr>
      <w:r>
        <w:rPr>
          <w:rFonts w:hint="eastAsia"/>
        </w:rPr>
        <w:t>　・その他の</w:t>
      </w:r>
      <w:r>
        <w:rPr>
          <w:rFonts w:hint="eastAsia" w:ascii="ＭＳ ゴシック" w:hAnsi="ＭＳ ゴシック" w:eastAsia="ＭＳ ゴシック"/>
        </w:rPr>
        <w:t>一般事業所は</w:t>
      </w:r>
      <w:r>
        <w:rPr>
          <w:rFonts w:hint="eastAsia"/>
        </w:rPr>
        <w:t>、自主的な感染対策の徹底により二次感染率は低く、一律に濃厚接触者を特定し行動制限を実施した場合、従事者の不足等社会経済活動への影響が大きいため、</w:t>
      </w:r>
      <w:r>
        <w:rPr>
          <w:rFonts w:hint="eastAsia" w:ascii="ＭＳ ゴシック" w:hAnsi="ＭＳ ゴシック" w:eastAsia="ＭＳ ゴシック"/>
        </w:rPr>
        <w:t>原則として濃厚接触者の特定等は行わない</w:t>
      </w:r>
      <w:r>
        <w:rPr>
          <w:rFonts w:hint="eastAsia"/>
        </w:rPr>
        <w:t>。</w:t>
      </w:r>
    </w:p>
    <w:p>
      <w:pPr>
        <w:pStyle w:val="0"/>
        <w:rPr>
          <w:rFonts w:hint="eastAsia"/>
        </w:rPr>
      </w:pPr>
    </w:p>
    <w:p>
      <w:pPr>
        <w:pStyle w:val="0"/>
        <w:rPr>
          <w:rFonts w:hint="eastAsia"/>
        </w:rPr>
      </w:pPr>
      <w:r>
        <w:rPr>
          <w:rFonts w:hint="eastAsia" w:ascii="ＭＳ ゴシック" w:hAnsi="ＭＳ ゴシック" w:eastAsia="ＭＳ ゴシック"/>
        </w:rPr>
        <w:t>２　見直し後の取扱い</w:t>
      </w:r>
    </w:p>
    <w:tbl>
      <w:tblPr>
        <w:tblStyle w:val="15"/>
        <w:tblW w:w="0" w:type="auto"/>
        <w:tblInd w:w="0" w:type="dxa"/>
        <w:tblLayout w:type="fixed"/>
        <w:tblLook w:firstRow="1" w:lastRow="0" w:firstColumn="1" w:lastColumn="0" w:noHBand="0" w:noVBand="1" w:val="04A0"/>
      </w:tblPr>
      <w:tblGrid>
        <w:gridCol w:w="490"/>
        <w:gridCol w:w="1185"/>
        <w:gridCol w:w="1953"/>
        <w:gridCol w:w="2127"/>
        <w:gridCol w:w="1920"/>
        <w:gridCol w:w="1395"/>
      </w:tblGrid>
      <w:tr>
        <w:trPr>
          <w:trHeight w:val="340" w:hRule="atLeast"/>
        </w:trPr>
        <w:tc>
          <w:tcPr>
            <w:tcW w:w="49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4F3B5"/>
            <w:vAlign w:val="center"/>
          </w:tcPr>
          <w:p>
            <w:pPr>
              <w:pStyle w:val="0"/>
              <w:jc w:val="center"/>
              <w:rPr>
                <w:rFonts w:hint="eastAsia"/>
              </w:rPr>
            </w:pPr>
          </w:p>
        </w:tc>
        <w:tc>
          <w:tcPr>
            <w:tcW w:w="118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D4F3B5"/>
            <w:vAlign w:val="center"/>
          </w:tcPr>
          <w:p>
            <w:pPr>
              <w:pStyle w:val="0"/>
              <w:jc w:val="center"/>
              <w:rPr>
                <w:rFonts w:hint="eastAsia"/>
              </w:rPr>
            </w:pPr>
            <w:r>
              <w:rPr>
                <w:rFonts w:hint="eastAsia"/>
              </w:rPr>
              <w:t>区分</w:t>
            </w:r>
          </w:p>
        </w:tc>
        <w:tc>
          <w:tcPr>
            <w:tcW w:w="1953" w:type="dxa"/>
            <w:vMerge w:val="restart"/>
            <w:shd w:val="clear" w:color="auto" w:fill="D4F3B5"/>
            <w:vAlign w:val="center"/>
          </w:tcPr>
          <w:p>
            <w:pPr>
              <w:pStyle w:val="0"/>
              <w:jc w:val="center"/>
              <w:rPr>
                <w:rFonts w:hint="eastAsia"/>
              </w:rPr>
            </w:pPr>
            <w:r>
              <w:rPr>
                <w:rFonts w:hint="eastAsia"/>
              </w:rPr>
              <w:t>主な施設等</w:t>
            </w:r>
          </w:p>
        </w:tc>
        <w:tc>
          <w:tcPr>
            <w:tcW w:w="2127" w:type="dxa"/>
            <w:vMerge w:val="restart"/>
            <w:shd w:val="clear" w:color="auto" w:fill="D4F3B5"/>
            <w:vAlign w:val="center"/>
          </w:tcPr>
          <w:p>
            <w:pPr>
              <w:pStyle w:val="0"/>
              <w:jc w:val="center"/>
              <w:rPr>
                <w:rFonts w:hint="eastAsia"/>
              </w:rPr>
            </w:pPr>
            <w:r>
              <w:rPr>
                <w:rFonts w:hint="eastAsia"/>
              </w:rPr>
              <w:t>濃厚接触者</w:t>
            </w:r>
          </w:p>
          <w:p>
            <w:pPr>
              <w:pStyle w:val="0"/>
              <w:jc w:val="center"/>
              <w:rPr>
                <w:rFonts w:hint="eastAsia"/>
              </w:rPr>
            </w:pPr>
            <w:r>
              <w:rPr>
                <w:rFonts w:hint="eastAsia"/>
              </w:rPr>
              <w:t>特定</w:t>
            </w:r>
          </w:p>
        </w:tc>
        <w:tc>
          <w:tcPr>
            <w:tcW w:w="331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4F3B5"/>
            <w:vAlign w:val="center"/>
          </w:tcPr>
          <w:p>
            <w:pPr>
              <w:pStyle w:val="0"/>
              <w:jc w:val="center"/>
              <w:rPr>
                <w:rFonts w:hint="eastAsia"/>
              </w:rPr>
            </w:pPr>
            <w:r>
              <w:rPr>
                <w:rFonts w:hint="eastAsia"/>
              </w:rPr>
              <w:t>待機期間</w:t>
            </w:r>
          </w:p>
        </w:tc>
      </w:tr>
      <w:tr>
        <w:trPr/>
        <w:tc>
          <w:tcPr>
            <w:tcW w:w="49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4F3B5"/>
            <w:vAlign w:val="center"/>
          </w:tcPr>
          <w:p>
            <w:pPr>
              <w:pStyle w:val="0"/>
              <w:rPr>
                <w:rFonts w:hint="eastAsia"/>
              </w:rPr>
            </w:pPr>
          </w:p>
        </w:tc>
        <w:tc>
          <w:tcPr>
            <w:tcW w:w="118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D4F3B5"/>
            <w:vAlign w:val="center"/>
          </w:tcPr>
          <w:p>
            <w:pPr>
              <w:pStyle w:val="0"/>
              <w:rPr>
                <w:rFonts w:hint="eastAsia"/>
              </w:rPr>
            </w:pPr>
          </w:p>
        </w:tc>
        <w:tc>
          <w:tcPr>
            <w:tcW w:w="1953" w:type="dxa"/>
            <w:vMerge w:val="continue"/>
            <w:shd w:val="clear" w:color="auto" w:fill="D4F3B5"/>
            <w:vAlign w:val="center"/>
          </w:tcPr>
          <w:p>
            <w:pPr>
              <w:pStyle w:val="0"/>
              <w:rPr>
                <w:rFonts w:hint="eastAsia"/>
              </w:rPr>
            </w:pPr>
          </w:p>
        </w:tc>
        <w:tc>
          <w:tcPr>
            <w:tcW w:w="2127" w:type="dxa"/>
            <w:vMerge w:val="continue"/>
            <w:shd w:val="clear" w:color="auto" w:fill="D4F3B5"/>
            <w:vAlign w:val="center"/>
          </w:tcPr>
          <w:p>
            <w:pPr>
              <w:pStyle w:val="0"/>
              <w:rPr>
                <w:rFonts w:hint="eastAsia"/>
              </w:rPr>
            </w:pPr>
          </w:p>
        </w:tc>
        <w:tc>
          <w:tcPr>
            <w:tcW w:w="1920" w:type="dxa"/>
            <w:shd w:val="clear" w:color="auto" w:fill="D4F3B5"/>
            <w:vAlign w:val="center"/>
          </w:tcPr>
          <w:p>
            <w:pPr>
              <w:pStyle w:val="0"/>
              <w:jc w:val="center"/>
              <w:rPr>
                <w:rFonts w:hint="eastAsia"/>
              </w:rPr>
            </w:pPr>
            <w:r>
              <w:rPr>
                <w:rFonts w:hint="eastAsia"/>
              </w:rPr>
              <w:t>通常</w:t>
            </w:r>
          </w:p>
        </w:tc>
        <w:tc>
          <w:tcPr>
            <w:tcW w:w="1395" w:type="dxa"/>
            <w:shd w:val="clear" w:color="auto" w:fill="D4F3B5"/>
            <w:vAlign w:val="center"/>
          </w:tcPr>
          <w:p>
            <w:pPr>
              <w:pStyle w:val="0"/>
              <w:jc w:val="center"/>
              <w:rPr>
                <w:rFonts w:hint="eastAsia"/>
              </w:rPr>
            </w:pPr>
            <w:r>
              <w:rPr>
                <w:rFonts w:hint="eastAsia"/>
                <w:w w:val="66"/>
              </w:rPr>
              <w:t>従事者の特例</w:t>
            </w:r>
          </w:p>
        </w:tc>
      </w:tr>
      <w:tr>
        <w:trPr>
          <w:trHeight w:val="1134" w:hRule="atLeast"/>
        </w:trPr>
        <w:tc>
          <w:tcPr>
            <w:tcW w:w="4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１</w:t>
            </w:r>
          </w:p>
        </w:tc>
        <w:tc>
          <w:tcPr>
            <w:tcW w:w="11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同居家族</w:t>
            </w:r>
          </w:p>
        </w:tc>
        <w:tc>
          <w:tcPr>
            <w:tcW w:w="1953" w:type="dxa"/>
            <w:vAlign w:val="center"/>
          </w:tcPr>
          <w:p>
            <w:pPr>
              <w:pStyle w:val="0"/>
              <w:rPr>
                <w:rFonts w:hint="eastAsia"/>
              </w:rPr>
            </w:pPr>
            <w:r>
              <w:rPr>
                <w:rFonts w:hint="eastAsia"/>
              </w:rPr>
              <w:t>同居家族</w:t>
            </w:r>
          </w:p>
        </w:tc>
        <w:tc>
          <w:tcPr>
            <w:tcW w:w="2127" w:type="dxa"/>
            <w:vAlign w:val="center"/>
          </w:tcPr>
          <w:p>
            <w:pPr>
              <w:pStyle w:val="0"/>
              <w:rPr>
                <w:rFonts w:hint="eastAsia"/>
              </w:rPr>
            </w:pPr>
            <w:r>
              <w:rPr>
                <w:rFonts w:hint="eastAsia"/>
              </w:rPr>
              <w:t>保健所等が特定</w:t>
            </w:r>
          </w:p>
          <w:p>
            <w:pPr>
              <w:pStyle w:val="0"/>
              <w:spacing w:before="174" w:beforeLines="50" w:beforeAutospacing="0"/>
              <w:rPr>
                <w:rFonts w:hint="eastAsia"/>
              </w:rPr>
            </w:pPr>
            <w:r>
              <w:rPr>
                <w:rFonts w:hint="eastAsia"/>
                <w:w w:val="90"/>
                <w:sz w:val="21"/>
              </w:rPr>
              <w:t>陽性者から本人に連絡</w:t>
            </w:r>
          </w:p>
        </w:tc>
        <w:tc>
          <w:tcPr>
            <w:tcW w:w="1920" w:type="dxa"/>
            <w:vMerge w:val="restart"/>
            <w:vAlign w:val="center"/>
          </w:tcPr>
          <w:p>
            <w:pPr>
              <w:pStyle w:val="0"/>
              <w:rPr>
                <w:rFonts w:hint="eastAsia"/>
              </w:rPr>
            </w:pPr>
            <w:r>
              <w:rPr>
                <w:rFonts w:hint="eastAsia"/>
              </w:rPr>
              <w:t>７日間</w:t>
            </w:r>
          </w:p>
          <w:p>
            <w:pPr>
              <w:pStyle w:val="0"/>
              <w:rPr>
                <w:rFonts w:hint="eastAsia"/>
              </w:rPr>
            </w:pPr>
            <w:r>
              <w:rPr>
                <w:rFonts w:hint="eastAsia"/>
              </w:rPr>
              <mc:AlternateContent>
                <mc:Choice Requires="wps">
                  <w:drawing>
                    <wp:anchor distT="0" distB="0" distL="203200" distR="203200" simplePos="0" relativeHeight="2" behindDoc="0" locked="1" layoutInCell="1" hidden="0" allowOverlap="1">
                      <wp:simplePos x="0" y="0"/>
                      <wp:positionH relativeFrom="column">
                        <wp:posOffset>-50165</wp:posOffset>
                      </wp:positionH>
                      <wp:positionV relativeFrom="paragraph">
                        <wp:posOffset>208280</wp:posOffset>
                      </wp:positionV>
                      <wp:extent cx="1179195" cy="66548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179195" cy="665480"/>
                              </a:xfrm>
                              <a:prstGeom prst="bracketPair">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16.39pt;mso-position-vertical-relative:text;mso-position-horizontal-relative:text;position:absolute;height:52.4pt;mso-wrap-distance-top:0pt;width:92.85pt;mso-wrap-distance-left:16pt;margin-left:-3.95pt;z-index:2;" o:spid="_x0000_s1026"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w10:anchorlock/>
                    </v:shape>
                  </w:pict>
                </mc:Fallback>
              </mc:AlternateContent>
            </w:r>
          </w:p>
          <w:p>
            <w:pPr>
              <w:pStyle w:val="0"/>
              <w:rPr>
                <w:rFonts w:hint="eastAsia"/>
              </w:rPr>
            </w:pPr>
            <w:r>
              <w:rPr>
                <w:rFonts w:hint="eastAsia"/>
              </w:rPr>
              <w:t>4,5</w:t>
            </w:r>
            <w:r>
              <w:rPr>
                <w:rFonts w:hint="eastAsia"/>
              </w:rPr>
              <w:t>日目に２回検査し陰性確認後から解除可</w:t>
            </w:r>
          </w:p>
        </w:tc>
        <w:tc>
          <w:tcPr>
            <w:tcW w:w="1395" w:type="dxa"/>
            <w:vAlign w:val="center"/>
          </w:tcPr>
          <w:p>
            <w:pPr>
              <w:pStyle w:val="0"/>
              <w:jc w:val="center"/>
              <w:rPr>
                <w:rFonts w:hint="eastAsia"/>
              </w:rPr>
            </w:pPr>
            <w:r>
              <w:rPr>
                <w:rFonts w:hint="eastAsia"/>
              </w:rPr>
              <w:t>なし</w:t>
            </w:r>
          </w:p>
        </w:tc>
      </w:tr>
      <w:tr>
        <w:trPr>
          <w:trHeight w:val="1361" w:hRule="atLeast"/>
        </w:trPr>
        <w:tc>
          <w:tcPr>
            <w:tcW w:w="4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２</w:t>
            </w:r>
          </w:p>
        </w:tc>
        <w:tc>
          <w:tcPr>
            <w:tcW w:w="11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w w:val="80"/>
              </w:rPr>
              <w:t>ハイリスク</w:t>
            </w:r>
          </w:p>
          <w:p>
            <w:pPr>
              <w:pStyle w:val="0"/>
              <w:rPr>
                <w:rFonts w:hint="eastAsia"/>
              </w:rPr>
            </w:pPr>
            <w:r>
              <w:rPr>
                <w:rFonts w:hint="eastAsia"/>
              </w:rPr>
              <w:t>施設</w:t>
            </w:r>
          </w:p>
        </w:tc>
        <w:tc>
          <w:tcPr>
            <w:tcW w:w="1953" w:type="dxa"/>
            <w:vAlign w:val="center"/>
          </w:tcPr>
          <w:p>
            <w:pPr>
              <w:pStyle w:val="0"/>
              <w:rPr>
                <w:rFonts w:hint="eastAsia"/>
              </w:rPr>
            </w:pPr>
            <w:r>
              <w:rPr>
                <w:rFonts w:hint="eastAsia"/>
              </w:rPr>
              <w:t>高齢者・障害者の入所施設、</w:t>
            </w:r>
          </w:p>
          <w:p>
            <w:pPr>
              <w:pStyle w:val="0"/>
              <w:rPr>
                <w:rFonts w:hint="eastAsia"/>
              </w:rPr>
            </w:pPr>
            <w:r>
              <w:rPr>
                <w:rFonts w:hint="eastAsia"/>
                <w:w w:val="90"/>
              </w:rPr>
              <w:t>病院、有床診療所</w:t>
            </w:r>
          </w:p>
        </w:tc>
        <w:tc>
          <w:tcPr>
            <w:tcW w:w="2127" w:type="dxa"/>
            <w:vMerge w:val="restart"/>
            <w:vAlign w:val="center"/>
          </w:tcPr>
          <w:p>
            <w:pPr>
              <w:pStyle w:val="0"/>
              <w:rPr>
                <w:rFonts w:hint="eastAsia"/>
              </w:rPr>
            </w:pPr>
            <w:r>
              <w:rPr>
                <w:rFonts w:hint="eastAsia"/>
              </w:rPr>
              <w:t>施設等が特定し、</w:t>
            </w:r>
          </w:p>
          <w:p>
            <w:pPr>
              <w:pStyle w:val="0"/>
              <w:rPr>
                <w:rFonts w:hint="eastAsia"/>
              </w:rPr>
            </w:pPr>
            <w:r>
              <w:rPr>
                <w:rFonts w:hint="eastAsia"/>
                <w:spacing w:val="-4"/>
              </w:rPr>
              <w:t>保健所にリストを</w:t>
            </w:r>
          </w:p>
          <w:p>
            <w:pPr>
              <w:pStyle w:val="0"/>
              <w:rPr>
                <w:rFonts w:hint="eastAsia"/>
              </w:rPr>
            </w:pPr>
            <w:r>
              <w:rPr>
                <w:rFonts w:hint="eastAsia"/>
              </w:rPr>
              <w:t>提出</w:t>
            </w:r>
          </w:p>
          <w:p>
            <w:pPr>
              <w:pStyle w:val="0"/>
              <w:spacing w:before="174" w:beforeLines="50" w:beforeAutospacing="0"/>
              <w:rPr>
                <w:rFonts w:hint="eastAsia"/>
              </w:rPr>
            </w:pPr>
            <w:r>
              <w:rPr>
                <w:rFonts w:hint="eastAsia"/>
                <w:w w:val="90"/>
                <w:sz w:val="21"/>
              </w:rPr>
              <w:t>施設等から本人に連絡</w:t>
            </w:r>
          </w:p>
        </w:tc>
        <w:tc>
          <w:tcPr>
            <w:tcW w:w="1920" w:type="dxa"/>
            <w:vMerge w:val="continue"/>
            <w:vAlign w:val="center"/>
          </w:tcPr>
          <w:p>
            <w:pPr>
              <w:pStyle w:val="0"/>
              <w:rPr>
                <w:rFonts w:hint="eastAsia"/>
              </w:rPr>
            </w:pPr>
          </w:p>
        </w:tc>
        <w:tc>
          <w:tcPr>
            <w:tcW w:w="1395" w:type="dxa"/>
            <w:vMerge w:val="restart"/>
            <w:vAlign w:val="center"/>
          </w:tcPr>
          <w:p>
            <w:pPr>
              <w:pStyle w:val="0"/>
              <w:rPr>
                <w:rFonts w:hint="eastAsia"/>
              </w:rPr>
            </w:pPr>
            <w:r>
              <w:rPr>
                <w:rFonts w:hint="eastAsia"/>
                <w:spacing w:val="-4"/>
              </w:rPr>
              <w:t>毎日の検査で陰性確認後は勤務可</w:t>
            </w:r>
          </w:p>
        </w:tc>
      </w:tr>
      <w:tr>
        <w:trPr>
          <w:trHeight w:val="1361" w:hRule="atLeast"/>
        </w:trPr>
        <w:tc>
          <w:tcPr>
            <w:tcW w:w="490"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rPr>
                <w:rFonts w:hint="eastAsia"/>
              </w:rPr>
            </w:pPr>
            <w:r>
              <w:rPr>
                <w:rFonts w:hint="eastAsia"/>
              </w:rPr>
              <w:t>３</w:t>
            </w:r>
          </w:p>
        </w:tc>
        <w:tc>
          <w:tcPr>
            <w:tcW w:w="1185"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center"/>
          </w:tcPr>
          <w:p>
            <w:pPr>
              <w:pStyle w:val="0"/>
              <w:rPr>
                <w:rFonts w:hint="eastAsia"/>
              </w:rPr>
            </w:pPr>
            <w:r>
              <w:rPr>
                <w:rFonts w:hint="eastAsia"/>
              </w:rPr>
              <w:t>保育所、</w:t>
            </w:r>
          </w:p>
          <w:p>
            <w:pPr>
              <w:pStyle w:val="0"/>
              <w:rPr>
                <w:rFonts w:hint="eastAsia"/>
              </w:rPr>
            </w:pPr>
            <w:r>
              <w:rPr>
                <w:rFonts w:hint="eastAsia"/>
              </w:rPr>
              <w:t>学校等</w:t>
            </w:r>
          </w:p>
        </w:tc>
        <w:tc>
          <w:tcPr>
            <w:tcW w:w="1953"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eastAsia"/>
              </w:rPr>
            </w:pPr>
            <w:r>
              <w:rPr>
                <w:rFonts w:hint="eastAsia"/>
              </w:rPr>
              <w:t>保育所、幼稚園、認定こども園、小中高校、</w:t>
            </w:r>
          </w:p>
          <w:p>
            <w:pPr>
              <w:pStyle w:val="0"/>
              <w:rPr>
                <w:rFonts w:hint="eastAsia"/>
              </w:rPr>
            </w:pPr>
            <w:r>
              <w:rPr>
                <w:rFonts w:hint="eastAsia"/>
                <w:w w:val="90"/>
              </w:rPr>
              <w:t>放課後児童クラブ</w:t>
            </w:r>
          </w:p>
        </w:tc>
        <w:tc>
          <w:tcPr>
            <w:tcW w:w="2127"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eastAsia"/>
              </w:rPr>
            </w:pPr>
          </w:p>
        </w:tc>
        <w:tc>
          <w:tcPr>
            <w:tcW w:w="1920"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eastAsia"/>
              </w:rPr>
            </w:pPr>
          </w:p>
        </w:tc>
        <w:tc>
          <w:tcPr>
            <w:tcW w:w="1395"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eastAsia"/>
              </w:rPr>
            </w:pPr>
          </w:p>
        </w:tc>
      </w:tr>
      <w:tr>
        <w:trPr>
          <w:trHeight w:val="1134" w:hRule="atLeast"/>
        </w:trPr>
        <w:tc>
          <w:tcPr>
            <w:tcW w:w="490" w:type="dxa"/>
            <w:tcBorders>
              <w:top w:val="single" w:color="auto" w:sz="12" w:space="0"/>
              <w:left w:val="single" w:color="auto" w:sz="12" w:space="0"/>
              <w:bottom w:val="single" w:color="auto" w:sz="12" w:space="0"/>
              <w:right w:val="single" w:color="auto" w:sz="4" w:space="0"/>
              <w:tl2br w:val="nil"/>
              <w:tr2bl w:val="nil"/>
            </w:tcBorders>
            <w:vAlign w:val="center"/>
          </w:tcPr>
          <w:p>
            <w:pPr>
              <w:pStyle w:val="0"/>
              <w:rPr>
                <w:rFonts w:hint="eastAsia"/>
              </w:rPr>
            </w:pPr>
            <w:r>
              <w:rPr>
                <w:rFonts w:hint="eastAsia"/>
              </w:rPr>
              <w:t>４</w:t>
            </w:r>
          </w:p>
        </w:tc>
        <w:tc>
          <w:tcPr>
            <w:tcW w:w="1185" w:type="dxa"/>
            <w:tcBorders>
              <w:top w:val="single" w:color="auto" w:sz="12" w:space="0"/>
              <w:left w:val="single" w:color="auto" w:sz="4" w:space="0"/>
              <w:bottom w:val="single" w:color="auto" w:sz="12" w:space="0"/>
              <w:right w:val="single" w:color="auto" w:sz="4" w:space="0"/>
              <w:tl2br w:val="nil"/>
              <w:tr2bl w:val="nil"/>
            </w:tcBorders>
            <w:vAlign w:val="center"/>
          </w:tcPr>
          <w:p>
            <w:pPr>
              <w:pStyle w:val="0"/>
              <w:rPr>
                <w:rFonts w:hint="eastAsia" w:ascii="ＭＳ ゴシック" w:hAnsi="ＭＳ ゴシック" w:eastAsia="ＭＳ ゴシック"/>
                <w:w w:val="80"/>
              </w:rPr>
            </w:pPr>
            <w:r>
              <w:rPr>
                <w:rFonts w:hint="eastAsia" w:ascii="ＭＳ ゴシック" w:hAnsi="ＭＳ ゴシック" w:eastAsia="ＭＳ ゴシック"/>
                <w:w w:val="80"/>
              </w:rPr>
              <w:t>一般事業所</w:t>
            </w:r>
          </w:p>
        </w:tc>
        <w:tc>
          <w:tcPr>
            <w:tcW w:w="1953" w:type="dxa"/>
            <w:tcBorders>
              <w:top w:val="single" w:color="auto" w:sz="12" w:space="0"/>
              <w:left w:val="single" w:color="auto" w:sz="4" w:space="0"/>
              <w:bottom w:val="single" w:color="auto" w:sz="12" w:space="0"/>
              <w:right w:val="single" w:color="auto" w:sz="4" w:space="0"/>
              <w:tl2br w:val="nil"/>
              <w:tr2bl w:val="nil"/>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2</w:t>
            </w:r>
            <w:r>
              <w:rPr>
                <w:rFonts w:hint="eastAsia" w:ascii="ＭＳ ゴシック" w:hAnsi="ＭＳ ゴシック" w:eastAsia="ＭＳ ゴシック"/>
              </w:rPr>
              <w:t>，</w:t>
            </w:r>
            <w:r>
              <w:rPr>
                <w:rFonts w:hint="eastAsia" w:ascii="ＭＳ ゴシック" w:hAnsi="ＭＳ ゴシック" w:eastAsia="ＭＳ ゴシック"/>
              </w:rPr>
              <w:t>3</w:t>
            </w:r>
            <w:r>
              <w:rPr>
                <w:rFonts w:hint="eastAsia" w:ascii="ＭＳ ゴシック" w:hAnsi="ＭＳ ゴシック" w:eastAsia="ＭＳ ゴシック"/>
              </w:rPr>
              <w:t>以外の</w:t>
            </w:r>
          </w:p>
          <w:p>
            <w:pPr>
              <w:pStyle w:val="0"/>
              <w:rPr>
                <w:rFonts w:hint="eastAsia" w:ascii="ＭＳ ゴシック" w:hAnsi="ＭＳ ゴシック" w:eastAsia="ＭＳ ゴシック"/>
              </w:rPr>
            </w:pPr>
            <w:r>
              <w:rPr>
                <w:rFonts w:hint="eastAsia" w:ascii="ＭＳ ゴシック" w:hAnsi="ＭＳ ゴシック" w:eastAsia="ＭＳ ゴシック"/>
              </w:rPr>
              <w:t>事業所、施設</w:t>
            </w:r>
          </w:p>
        </w:tc>
        <w:tc>
          <w:tcPr>
            <w:tcW w:w="2127" w:type="dxa"/>
            <w:tcBorders>
              <w:top w:val="single" w:color="auto" w:sz="12" w:space="0"/>
              <w:left w:val="single" w:color="auto" w:sz="4" w:space="0"/>
              <w:bottom w:val="single" w:color="auto" w:sz="12" w:space="0"/>
              <w:right w:val="single" w:color="auto" w:sz="4" w:space="0"/>
              <w:tl2br w:val="nil"/>
              <w:tr2bl w:val="nil"/>
            </w:tcBorders>
            <w:vAlign w:val="center"/>
          </w:tcPr>
          <w:p>
            <w:pPr>
              <w:pStyle w:val="0"/>
              <w:rPr>
                <w:rFonts w:hint="eastAsia"/>
              </w:rPr>
            </w:pPr>
            <w:r>
              <w:rPr>
                <w:rFonts w:hint="eastAsia" w:ascii="ＭＳ ゴシック" w:hAnsi="ＭＳ ゴシック" w:eastAsia="ＭＳ ゴシック"/>
              </w:rPr>
              <w:t>原則特定しない</w:t>
            </w:r>
          </w:p>
        </w:tc>
        <w:tc>
          <w:tcPr>
            <w:tcW w:w="1920" w:type="dxa"/>
            <w:tcBorders>
              <w:top w:val="single" w:color="auto" w:sz="12" w:space="0"/>
              <w:left w:val="single" w:color="auto" w:sz="4" w:space="0"/>
              <w:bottom w:val="single" w:color="auto" w:sz="12" w:space="0"/>
              <w:right w:val="single" w:color="auto" w:sz="4" w:space="0"/>
              <w:tl2br w:val="nil"/>
              <w:tr2bl w:val="nil"/>
            </w:tcBorders>
            <w:vAlign w:val="center"/>
          </w:tcPr>
          <w:p>
            <w:pPr>
              <w:pStyle w:val="0"/>
              <w:jc w:val="center"/>
              <w:rPr>
                <w:rFonts w:hint="eastAsia"/>
              </w:rPr>
            </w:pPr>
            <w:r>
              <w:rPr>
                <w:rFonts w:hint="eastAsia"/>
              </w:rPr>
              <w:t>―</w:t>
            </w:r>
          </w:p>
        </w:tc>
        <w:tc>
          <w:tcPr>
            <w:tcW w:w="1395" w:type="dxa"/>
            <w:tcBorders>
              <w:top w:val="single" w:color="auto" w:sz="12" w:space="0"/>
              <w:left w:val="single" w:color="auto" w:sz="4" w:space="0"/>
              <w:bottom w:val="single" w:color="auto" w:sz="12" w:space="0"/>
              <w:right w:val="single" w:color="auto" w:sz="12" w:space="0"/>
              <w:tl2br w:val="nil"/>
              <w:tr2bl w:val="nil"/>
            </w:tcBorders>
            <w:vAlign w:val="center"/>
          </w:tcPr>
          <w:p>
            <w:pPr>
              <w:pStyle w:val="0"/>
              <w:jc w:val="center"/>
              <w:rPr>
                <w:rFonts w:hint="eastAsia"/>
              </w:rPr>
            </w:pPr>
            <w:r>
              <w:rPr>
                <w:rFonts w:hint="eastAsia"/>
              </w:rPr>
              <w:t>―</w:t>
            </w:r>
          </w:p>
        </w:tc>
      </w:tr>
    </w:tbl>
    <w:p>
      <w:pPr>
        <w:pStyle w:val="0"/>
        <w:spacing w:line="20" w:lineRule="exact"/>
        <w:rPr>
          <w:rFonts w:hint="eastAsia"/>
        </w:rPr>
      </w:pPr>
    </w:p>
    <w:sectPr>
      <w:headerReference r:id="rId5" w:type="default"/>
      <w:pgSz w:w="11906" w:h="16838"/>
      <w:pgMar w:top="1417" w:right="1417" w:bottom="1134" w:left="1417" w:header="851" w:footer="992" w:gutter="0"/>
      <w:pgBorders w:zOrder="front" w:display="allPages" w:offsetFrom="page"/>
      <w:cols w:space="720"/>
      <w:textDirection w:val="lrTb"/>
      <w:docGrid w:type="lines" w:linePitch="3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ordWrap w:val="0"/>
      <w:jc w:val="right"/>
      <w:rPr>
        <w:rFonts w:hint="eastAsia"/>
      </w:rPr>
    </w:pPr>
    <w:r>
      <w:rPr>
        <w:rFonts w:hint="eastAsia" w:ascii="ＭＳ ゴシック" w:hAnsi="ＭＳ ゴシック" w:eastAsia="ＭＳ ゴシック"/>
        <w:bdr w:val="single" w:color="auto" w:sz="4" w:space="0"/>
      </w:rPr>
      <w:t xml:space="preserve"> </w:t>
    </w:r>
    <w:r>
      <w:rPr>
        <w:rFonts w:hint="eastAsia" w:ascii="ＭＳ ゴシック" w:hAnsi="ＭＳ ゴシック" w:eastAsia="ＭＳ ゴシック"/>
        <w:bdr w:val="single" w:color="auto" w:sz="4" w:space="0"/>
      </w:rPr>
      <w:t>別添１</w:t>
    </w:r>
    <w:r>
      <w:rPr>
        <w:rFonts w:hint="eastAsia" w:ascii="ＭＳ ゴシック" w:hAnsi="ＭＳ ゴシック" w:eastAsia="ＭＳ ゴシック"/>
        <w:bdr w:val="single" w:color="auto" w:sz="4" w:space="0"/>
      </w:rPr>
      <w:t xml:space="preserve"> </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bordersDoNotSurroundHeader/>
  <w:bordersDoNotSurroundFooter/>
  <w:defaultTabStop w:val="840"/>
  <w:hyphenationZone w:val="0"/>
  <w:defaultTableStyle w:val="15"/>
  <w:drawingGridHorizontalSpacing w:val="240"/>
  <w:drawingGridVerticalSpacing w:val="17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内田　知康</dc:creator>
  <cp:lastModifiedBy>内田　知康</cp:lastModifiedBy>
  <cp:lastPrinted>2022-03-23T10:03:29Z</cp:lastPrinted>
  <dcterms:created xsi:type="dcterms:W3CDTF">2022-03-22T01:38:00Z</dcterms:created>
  <dcterms:modified xsi:type="dcterms:W3CDTF">2022-03-23T09:06:04Z</dcterms:modified>
  <cp:revision>6</cp:revision>
</cp:coreProperties>
</file>